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8F99" w14:textId="77777777" w:rsidR="00FE42F8" w:rsidRPr="00277EB1" w:rsidRDefault="009644EF">
      <w:pPr>
        <w:pStyle w:val="Nagwek1"/>
        <w:keepNext/>
        <w:keepLines/>
        <w:shd w:val="clear" w:color="auto" w:fill="auto"/>
        <w:spacing w:after="600" w:line="520" w:lineRule="exact"/>
        <w:rPr>
          <w:sz w:val="24"/>
          <w:szCs w:val="24"/>
          <w:lang w:val="pl-PL"/>
        </w:rPr>
      </w:pPr>
      <w:bookmarkStart w:id="0" w:name="bookmark0"/>
      <w:r>
        <w:rPr>
          <w:rFonts w:ascii="Courier New" w:eastAsia="Courier New" w:hAnsi="Courier New" w:cs="Courier New"/>
          <w:i w:val="0"/>
          <w:iCs w:val="0"/>
          <w:noProof/>
          <w:sz w:val="24"/>
          <w:szCs w:val="24"/>
          <w:lang w:val="pl-PL" w:eastAsia="pl-PL"/>
        </w:rPr>
        <w:drawing>
          <wp:anchor distT="57150" distB="57150" distL="57150" distR="57150" simplePos="0" relativeHeight="251659264" behindDoc="0" locked="0" layoutInCell="1" allowOverlap="1" wp14:anchorId="4C5B7412" wp14:editId="6B80C548">
            <wp:simplePos x="0" y="0"/>
            <wp:positionH relativeFrom="column">
              <wp:posOffset>5120640</wp:posOffset>
            </wp:positionH>
            <wp:positionV relativeFrom="line">
              <wp:posOffset>-243840</wp:posOffset>
            </wp:positionV>
            <wp:extent cx="701041" cy="365760"/>
            <wp:effectExtent l="0" t="0" r="0" b="0"/>
            <wp:wrapSquare wrapText="bothSides" distT="57150" distB="57150" distL="57150" distR="57150"/>
            <wp:docPr id="1073741827" name="officeArt object" descr="T:\gluchk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:\gluchk\media\image1.jpeg" descr="T:\gluchk\media\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1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77EB1">
        <w:rPr>
          <w:sz w:val="24"/>
          <w:szCs w:val="24"/>
          <w:lang w:val="pl-PL"/>
        </w:rPr>
        <w:t>Komunikat prasow</w:t>
      </w:r>
      <w:bookmarkEnd w:id="0"/>
      <w:r w:rsidRPr="00277EB1">
        <w:rPr>
          <w:sz w:val="24"/>
          <w:szCs w:val="24"/>
          <w:lang w:val="pl-PL"/>
        </w:rPr>
        <w:t>y</w:t>
      </w:r>
    </w:p>
    <w:p w14:paraId="06009B08" w14:textId="4EF8DDF1" w:rsidR="00FE42F8" w:rsidRPr="00277EB1" w:rsidRDefault="00277EB1" w:rsidP="00277EB1">
      <w:pPr>
        <w:pStyle w:val="Tre"/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8"/>
        </w:rPr>
      </w:pPr>
      <w:r w:rsidRPr="00277EB1">
        <w:rPr>
          <w:rFonts w:ascii="Times New Roman" w:eastAsia="Times New Roman" w:hAnsi="Times New Roman" w:cs="Times New Roman"/>
          <w:sz w:val="22"/>
          <w:szCs w:val="28"/>
        </w:rPr>
        <w:t>Warszawa, 29 maja 2020 r.</w:t>
      </w:r>
    </w:p>
    <w:p w14:paraId="20C761DA" w14:textId="77777777" w:rsidR="00277EB1" w:rsidRDefault="00277EB1">
      <w:pPr>
        <w:pStyle w:val="Tr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482918" w14:textId="77777777" w:rsidR="00FE42F8" w:rsidRPr="00277EB1" w:rsidRDefault="009644EF">
      <w:pPr>
        <w:pStyle w:val="Nagwek2"/>
        <w:keepNext/>
        <w:keepLines/>
        <w:shd w:val="clear" w:color="auto" w:fill="auto"/>
        <w:spacing w:after="120" w:line="276" w:lineRule="auto"/>
        <w:rPr>
          <w:rFonts w:ascii="Times New Roman" w:eastAsia="Times New Roman" w:hAnsi="Times New Roman" w:cs="Times New Roman"/>
          <w:b/>
          <w:bCs/>
          <w:lang w:val="pl-PL"/>
        </w:rPr>
      </w:pPr>
      <w:bookmarkStart w:id="1" w:name="bookmark1"/>
      <w:r w:rsidRPr="00277EB1">
        <w:rPr>
          <w:rFonts w:ascii="Times New Roman" w:hAnsi="Times New Roman"/>
          <w:b/>
          <w:bCs/>
          <w:lang w:val="pl-PL"/>
        </w:rPr>
        <w:t xml:space="preserve">Firma Roche rozpoczyna badanie kliniczne III fazy dotyczące stosowania produktu leczniczego </w:t>
      </w:r>
      <w:proofErr w:type="spellStart"/>
      <w:r w:rsidRPr="00277EB1">
        <w:rPr>
          <w:rFonts w:ascii="Times New Roman" w:hAnsi="Times New Roman"/>
          <w:b/>
          <w:bCs/>
          <w:lang w:val="pl-PL"/>
        </w:rPr>
        <w:t>tocilizumab</w:t>
      </w:r>
      <w:proofErr w:type="spellEnd"/>
      <w:r w:rsidRPr="00277EB1">
        <w:rPr>
          <w:rFonts w:ascii="Times New Roman" w:hAnsi="Times New Roman"/>
          <w:b/>
          <w:bCs/>
          <w:lang w:val="pl-PL"/>
        </w:rPr>
        <w:t xml:space="preserve"> w skojarzeniu z lekiem </w:t>
      </w:r>
      <w:proofErr w:type="spellStart"/>
      <w:r w:rsidRPr="00277EB1">
        <w:rPr>
          <w:rFonts w:ascii="Times New Roman" w:hAnsi="Times New Roman"/>
          <w:b/>
          <w:bCs/>
          <w:lang w:val="pl-PL"/>
        </w:rPr>
        <w:t>remdesiwir</w:t>
      </w:r>
      <w:proofErr w:type="spellEnd"/>
      <w:r w:rsidRPr="00277EB1">
        <w:rPr>
          <w:rFonts w:ascii="Times New Roman" w:hAnsi="Times New Roman"/>
          <w:b/>
          <w:bCs/>
          <w:lang w:val="pl-PL"/>
        </w:rPr>
        <w:t xml:space="preserve"> </w:t>
      </w:r>
      <w:r w:rsidRPr="00277EB1">
        <w:rPr>
          <w:rFonts w:ascii="Times New Roman" w:eastAsia="Times New Roman" w:hAnsi="Times New Roman" w:cs="Times New Roman"/>
          <w:b/>
          <w:bCs/>
          <w:lang w:val="pl-PL"/>
        </w:rPr>
        <w:br/>
      </w:r>
      <w:r w:rsidRPr="00277EB1">
        <w:rPr>
          <w:rFonts w:ascii="Times New Roman" w:hAnsi="Times New Roman"/>
          <w:b/>
          <w:bCs/>
          <w:lang w:val="pl-PL"/>
        </w:rPr>
        <w:t>u hospitalizowanych pacjentów z ciężkim zapaleniem płuc w przebiegu COVID-19</w:t>
      </w:r>
      <w:bookmarkEnd w:id="1"/>
    </w:p>
    <w:p w14:paraId="4B5D577C" w14:textId="1FCBCD4D" w:rsidR="00FE42F8" w:rsidRPr="00277EB1" w:rsidRDefault="009644EF">
      <w:pPr>
        <w:pStyle w:val="Nagwek3"/>
        <w:keepNext/>
        <w:keepLines/>
        <w:numPr>
          <w:ilvl w:val="0"/>
          <w:numId w:val="2"/>
        </w:numPr>
        <w:shd w:val="clear" w:color="auto" w:fill="auto"/>
        <w:spacing w:after="120" w:line="276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bookmarkStart w:id="2" w:name="bookmark2"/>
      <w:r w:rsidRPr="00277EB1">
        <w:rPr>
          <w:rFonts w:ascii="Times New Roman" w:hAnsi="Times New Roman"/>
          <w:sz w:val="22"/>
          <w:szCs w:val="22"/>
          <w:lang w:val="pl-PL"/>
        </w:rPr>
        <w:t>Firma Roche zbliża się również do ukończenia rekrutacji do globalnego</w:t>
      </w:r>
      <w:r w:rsidR="001678CA" w:rsidRPr="001678CA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678CA" w:rsidRPr="00F3776B">
        <w:rPr>
          <w:rFonts w:ascii="Times New Roman" w:hAnsi="Times New Roman"/>
          <w:sz w:val="22"/>
          <w:szCs w:val="22"/>
          <w:lang w:val="pl-PL"/>
        </w:rPr>
        <w:t>randomizowanego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1678CA">
        <w:rPr>
          <w:rFonts w:ascii="Times New Roman" w:hAnsi="Times New Roman"/>
          <w:sz w:val="22"/>
          <w:szCs w:val="22"/>
          <w:lang w:val="pl-PL"/>
        </w:rPr>
        <w:t>podwójnie zaślepionego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, kontrolowanego placebo badania klinicznego </w:t>
      </w:r>
      <w:r w:rsidR="001678CA" w:rsidRPr="00DA4CA0">
        <w:rPr>
          <w:rFonts w:ascii="Times New Roman" w:hAnsi="Times New Roman"/>
          <w:sz w:val="22"/>
          <w:szCs w:val="22"/>
          <w:lang w:val="pl-PL"/>
        </w:rPr>
        <w:t xml:space="preserve">III 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fazy z zastosowaniem produktu leczniczego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tocilizumab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B3222">
        <w:rPr>
          <w:rFonts w:ascii="Times New Roman" w:hAnsi="Times New Roman"/>
          <w:sz w:val="22"/>
          <w:szCs w:val="22"/>
          <w:lang w:val="pl-PL"/>
        </w:rPr>
        <w:br/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u hospitalizowanych pacjentów z ciężkim zapaleniem płuc </w:t>
      </w:r>
      <w:r w:rsidR="001678CA">
        <w:rPr>
          <w:rFonts w:ascii="Times New Roman" w:hAnsi="Times New Roman"/>
          <w:sz w:val="22"/>
          <w:szCs w:val="22"/>
          <w:lang w:val="pl-PL"/>
        </w:rPr>
        <w:t>w przebiegu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 COVID-19. Uzyskanie wyników badania jest spodziewane latem bieżącego roku.</w:t>
      </w:r>
      <w:bookmarkEnd w:id="2"/>
    </w:p>
    <w:p w14:paraId="56F1FAC0" w14:textId="69377420" w:rsidR="00FE42F8" w:rsidRPr="00277EB1" w:rsidRDefault="009644EF">
      <w:pPr>
        <w:pStyle w:val="Teksttreci"/>
        <w:shd w:val="clear" w:color="auto" w:fill="auto"/>
        <w:spacing w:after="120" w:line="276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77EB1">
        <w:rPr>
          <w:rFonts w:ascii="Times New Roman" w:hAnsi="Times New Roman"/>
          <w:sz w:val="22"/>
          <w:szCs w:val="22"/>
          <w:lang w:val="pl-PL"/>
        </w:rPr>
        <w:t>Firma Roche ogłosiła dziś rozpoczęcie globalnego, randomizowanego, podwójnie zaślepionego, wieloośrodk</w:t>
      </w:r>
      <w:r w:rsidR="00FB3222">
        <w:rPr>
          <w:rFonts w:ascii="Times New Roman" w:hAnsi="Times New Roman"/>
          <w:sz w:val="22"/>
          <w:szCs w:val="22"/>
          <w:lang w:val="pl-PL"/>
        </w:rPr>
        <w:t>owego badania fazy III REMDACTA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 w celu oceny bezpieczeństwa i skuteczności produktu leczniczego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tocilizumab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w skojarzeniu z eksperymentalnym lekiem przeciwwirusowym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remdesiwir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, w porównaniu z placebo w skojarzeniu z lekiem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remdesiwir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u hospitalizowanych pacjentów z ciężkim zapaleniem płuc w przebiegu COVID-19. Badanie realizowane jest </w:t>
      </w:r>
      <w:r w:rsidR="00FB3222">
        <w:rPr>
          <w:rFonts w:ascii="Times New Roman" w:hAnsi="Times New Roman"/>
          <w:sz w:val="22"/>
          <w:szCs w:val="22"/>
          <w:lang w:val="pl-PL"/>
        </w:rPr>
        <w:br/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we współpracy z firmą Gilead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Sciences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>, Inc.</w:t>
      </w:r>
    </w:p>
    <w:p w14:paraId="1C2D7543" w14:textId="77777777" w:rsidR="00FE42F8" w:rsidRPr="00277EB1" w:rsidRDefault="009644EF">
      <w:pPr>
        <w:pStyle w:val="Teksttreci"/>
        <w:shd w:val="clear" w:color="auto" w:fill="auto"/>
        <w:spacing w:after="120" w:line="276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77EB1">
        <w:rPr>
          <w:rFonts w:ascii="Times New Roman" w:hAnsi="Times New Roman"/>
          <w:sz w:val="22"/>
          <w:szCs w:val="22"/>
          <w:lang w:val="pl-PL"/>
        </w:rPr>
        <w:t>„</w:t>
      </w:r>
      <w:r w:rsidRPr="00277EB1">
        <w:rPr>
          <w:rFonts w:ascii="Times New Roman" w:hAnsi="Times New Roman"/>
          <w:i/>
          <w:iCs/>
          <w:sz w:val="22"/>
          <w:szCs w:val="22"/>
          <w:lang w:val="pl-PL"/>
        </w:rPr>
        <w:t>W miarę uzyskiwania coraz większej ilości informacji na temat zapalenia płuc w przebiegu COVID-19, ważniejsze niż kiedykolwiek w tym bezprecedensowym czasie, jest wspólne działanie w celu zwalczenia tej choroby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” – powiedział dr hab. Levi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Garraway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>, główny specjalista ds. globalnego rozwoju produktu. – „</w:t>
      </w:r>
      <w:r w:rsidRPr="00277EB1">
        <w:rPr>
          <w:rFonts w:ascii="Times New Roman" w:hAnsi="Times New Roman"/>
          <w:i/>
          <w:iCs/>
          <w:sz w:val="22"/>
          <w:szCs w:val="22"/>
          <w:lang w:val="pl-PL"/>
        </w:rPr>
        <w:t xml:space="preserve">Na podstawie naszej obecnej wiedzy, uważamy, że połączenie leków przeciwwirusowych z modulatorem odpowiedzi immunologicznej może być potencjalnie skutecznym podejściem w leczeniu pacjentów z ciężką postacią choroby. Mamy przyjemność współpracować </w:t>
      </w:r>
      <w:r w:rsidRPr="00277EB1">
        <w:rPr>
          <w:rFonts w:ascii="Times New Roman" w:hAnsi="Times New Roman"/>
          <w:i/>
          <w:iCs/>
          <w:sz w:val="22"/>
          <w:szCs w:val="22"/>
          <w:lang w:val="pl-PL"/>
        </w:rPr>
        <w:br/>
        <w:t>z firmą Gilead przy ustalaniu, czy skojarzenie tych leków mogłoby potencjalnie pomóc większej liczbie pacjentów w czasie tej pandemii</w:t>
      </w:r>
      <w:r w:rsidRPr="00277EB1">
        <w:rPr>
          <w:rFonts w:ascii="Times New Roman" w:hAnsi="Times New Roman"/>
          <w:sz w:val="22"/>
          <w:szCs w:val="22"/>
          <w:lang w:val="pl-PL"/>
        </w:rPr>
        <w:t>”.</w:t>
      </w:r>
    </w:p>
    <w:p w14:paraId="50827C13" w14:textId="420D3DAE" w:rsidR="00FE42F8" w:rsidRPr="00277EB1" w:rsidRDefault="009644EF">
      <w:pPr>
        <w:pStyle w:val="Teksttreci"/>
        <w:shd w:val="clear" w:color="auto" w:fill="auto"/>
        <w:spacing w:after="120" w:line="276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77EB1">
        <w:rPr>
          <w:sz w:val="22"/>
          <w:szCs w:val="22"/>
          <w:lang w:val="pl-PL"/>
        </w:rPr>
        <w:t>Rozpoczęcie rekrutacji do badania planowane jest w czerwcu, a docelowa liczba pacjentów na całym świecie wyniesie około 450</w:t>
      </w:r>
      <w:r w:rsidR="005B2F07">
        <w:rPr>
          <w:rFonts w:ascii="Times New Roman" w:hAnsi="Times New Roman"/>
          <w:sz w:val="22"/>
          <w:szCs w:val="22"/>
          <w:lang w:val="pl-PL"/>
        </w:rPr>
        <w:t>.</w:t>
      </w:r>
      <w:r w:rsidRPr="00277EB1">
        <w:rPr>
          <w:sz w:val="22"/>
          <w:szCs w:val="22"/>
          <w:lang w:val="pl-PL"/>
        </w:rPr>
        <w:t xml:space="preserve"> 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Firma Roche zbliża się również do zakończenia rekrutacji do globalnego, randomizowanego, podwójnie zaślepionego, kontrolowanego placebo badania klinicznego fazy III COVACTA, którego celem jest ocena bezpieczeństwa i skuteczności produktu leczniczego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tocilizumab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B2F07">
        <w:rPr>
          <w:rFonts w:ascii="Times New Roman" w:hAnsi="Times New Roman"/>
          <w:sz w:val="22"/>
          <w:szCs w:val="22"/>
          <w:lang w:val="pl-PL"/>
        </w:rPr>
        <w:t>podawanego we wlewie dożylnym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 w skojarzeniu ze standardowym leczeniem w porównaniu </w:t>
      </w:r>
      <w:r w:rsidR="005B2F07">
        <w:rPr>
          <w:rFonts w:ascii="Times New Roman" w:hAnsi="Times New Roman"/>
          <w:sz w:val="22"/>
          <w:szCs w:val="22"/>
          <w:lang w:val="pl-PL"/>
        </w:rPr>
        <w:t>do</w:t>
      </w:r>
      <w:r w:rsidR="005B2F07" w:rsidRPr="00277EB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placebo w skojarzeniu ze standardowym leczeniem u hospitalizowanych dorosłych pacjentów z ciężkim zapaleniem płuc w przebiegu COVID-19. Pierwszy pacjent został zrandomizowany 3 kwietnia. Do powyższego badania finalnie włączonych zostanie około 450 pacjentów, ten wzrost w stosunku do pierwotnej liczby docelowej wynoszącej 330 pacjentów pozwoli na uzyskanie jeszcze bardziej wiarygodnych danych przy minimalnym wydłużeniu okresu rekrutacji. </w:t>
      </w:r>
    </w:p>
    <w:p w14:paraId="38DEC57C" w14:textId="2F821DD8" w:rsidR="00FE42F8" w:rsidRPr="00277EB1" w:rsidRDefault="009644EF">
      <w:pPr>
        <w:pStyle w:val="Teksttreci"/>
        <w:shd w:val="clear" w:color="auto" w:fill="auto"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77EB1">
        <w:rPr>
          <w:rFonts w:ascii="Times New Roman" w:hAnsi="Times New Roman"/>
          <w:sz w:val="22"/>
          <w:szCs w:val="22"/>
          <w:lang w:val="pl-PL"/>
        </w:rPr>
        <w:t xml:space="preserve">Badanie COVACTA prowadzone jest we współpracy z Amerykańską Agencją ds. Żywności i Leków (FDA) oraz amerykańską agencją rządową zajmującą się badaniami biomedycznymi (ang.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Biomedical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Advanced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Research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oraz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Developmeny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Authority, BARDA)</w:t>
      </w:r>
      <w:r w:rsidR="00FB3222">
        <w:rPr>
          <w:rFonts w:ascii="Times New Roman" w:hAnsi="Times New Roman"/>
          <w:sz w:val="22"/>
          <w:szCs w:val="22"/>
          <w:lang w:val="pl-PL"/>
        </w:rPr>
        <w:t>.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 Firma Roche jest również uczestnikiem partnerstwa – Interwencje Terapeutyczne i Szczepienia (ang. </w:t>
      </w:r>
      <w:r w:rsidRPr="00277EB1">
        <w:rPr>
          <w:rFonts w:ascii="Times New Roman" w:hAnsi="Times New Roman"/>
          <w:sz w:val="22"/>
          <w:szCs w:val="22"/>
        </w:rPr>
        <w:t xml:space="preserve">Accelerated COVID-19 Therapeutic Interventions and Vaccines, ACTIV), pod </w:t>
      </w:r>
      <w:proofErr w:type="spellStart"/>
      <w:r w:rsidRPr="00277EB1">
        <w:rPr>
          <w:rFonts w:ascii="Times New Roman" w:hAnsi="Times New Roman"/>
          <w:sz w:val="22"/>
          <w:szCs w:val="22"/>
        </w:rPr>
        <w:t>kierownictwem</w:t>
      </w:r>
      <w:proofErr w:type="spellEnd"/>
      <w:r w:rsidRPr="00277E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7EB1">
        <w:rPr>
          <w:rFonts w:ascii="Times New Roman" w:hAnsi="Times New Roman"/>
          <w:sz w:val="22"/>
          <w:szCs w:val="22"/>
        </w:rPr>
        <w:t>Narodowego</w:t>
      </w:r>
      <w:proofErr w:type="spellEnd"/>
      <w:r w:rsidRPr="00277E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7EB1">
        <w:rPr>
          <w:rFonts w:ascii="Times New Roman" w:hAnsi="Times New Roman"/>
          <w:sz w:val="22"/>
          <w:szCs w:val="22"/>
        </w:rPr>
        <w:t>Instytutu</w:t>
      </w:r>
      <w:proofErr w:type="spellEnd"/>
      <w:r w:rsidRPr="00277E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7EB1">
        <w:rPr>
          <w:rFonts w:ascii="Times New Roman" w:hAnsi="Times New Roman"/>
          <w:sz w:val="22"/>
          <w:szCs w:val="22"/>
        </w:rPr>
        <w:t>Zdrowia</w:t>
      </w:r>
      <w:proofErr w:type="spellEnd"/>
      <w:r w:rsidRPr="00277EB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277EB1">
        <w:rPr>
          <w:rFonts w:ascii="Times New Roman" w:hAnsi="Times New Roman"/>
          <w:sz w:val="22"/>
          <w:szCs w:val="22"/>
        </w:rPr>
        <w:t>ang.</w:t>
      </w:r>
      <w:proofErr w:type="spellEnd"/>
      <w:r w:rsidRPr="00277EB1">
        <w:rPr>
          <w:rFonts w:ascii="Times New Roman" w:hAnsi="Times New Roman"/>
          <w:sz w:val="22"/>
          <w:szCs w:val="22"/>
        </w:rPr>
        <w:t xml:space="preserve"> </w:t>
      </w:r>
      <w:r w:rsidRPr="00277EB1">
        <w:rPr>
          <w:rFonts w:ascii="Times New Roman" w:hAnsi="Times New Roman"/>
          <w:sz w:val="22"/>
          <w:szCs w:val="22"/>
        </w:rPr>
        <w:lastRenderedPageBreak/>
        <w:t xml:space="preserve">National Institute of Health, NIH) </w:t>
      </w:r>
      <w:proofErr w:type="spellStart"/>
      <w:r w:rsidRPr="00277EB1">
        <w:rPr>
          <w:rFonts w:ascii="Times New Roman" w:hAnsi="Times New Roman"/>
          <w:sz w:val="22"/>
          <w:szCs w:val="22"/>
        </w:rPr>
        <w:t>oraz</w:t>
      </w:r>
      <w:proofErr w:type="spellEnd"/>
      <w:r w:rsidRPr="00277E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7EB1">
        <w:rPr>
          <w:rFonts w:ascii="Times New Roman" w:hAnsi="Times New Roman"/>
          <w:sz w:val="22"/>
          <w:szCs w:val="22"/>
        </w:rPr>
        <w:t>Fundacji</w:t>
      </w:r>
      <w:proofErr w:type="spellEnd"/>
      <w:r w:rsidRPr="00277EB1">
        <w:rPr>
          <w:rFonts w:ascii="Times New Roman" w:hAnsi="Times New Roman"/>
          <w:sz w:val="22"/>
          <w:szCs w:val="22"/>
        </w:rPr>
        <w:t xml:space="preserve"> NIH.</w:t>
      </w:r>
    </w:p>
    <w:p w14:paraId="554B050E" w14:textId="77777777" w:rsidR="00FE42F8" w:rsidRPr="00277EB1" w:rsidRDefault="009644EF">
      <w:pPr>
        <w:pStyle w:val="Teksttreci"/>
        <w:shd w:val="clear" w:color="auto" w:fill="auto"/>
        <w:spacing w:after="120" w:line="276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77EB1">
        <w:rPr>
          <w:rFonts w:ascii="Times New Roman" w:hAnsi="Times New Roman"/>
          <w:sz w:val="22"/>
          <w:szCs w:val="22"/>
          <w:lang w:val="pl-PL"/>
        </w:rPr>
        <w:t xml:space="preserve">Lek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remdesivir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uzyskał zezwolenie Amerykańskiej Agencji ds. Żywności i Leków (FDA) na użycie w wyjątkowej sytuacji w leczeniu hospitalizowanych pacjentów z ciężką postacią COVID-19.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Remdesiwir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jest eksperymentalnym lekiem przeciwwirusowym, który jest badany w wielu obecnie trwających międzynarodowych badaniach klinicznych, przy czym bezpieczeństwo i skuteczność tego leku w leczeniu COVID-19 nie zostały jeszcze ustalone.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Remdesiwir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nie został dopuszczony do stosowania w żadnym wskazaniu przez Amerykańską Agencję ds. Żywności i Leków (FDA). W celu uzyskania informacji o dopuszczonym stosowaniu leku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remdesiwir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oraz obowiązkowych wymaganiach dotyczących stosowania go w wyjątkowej sytuacji w Stanach Zjednoczonych należy </w:t>
      </w:r>
      <w:bookmarkStart w:id="3" w:name="_GoBack"/>
      <w:bookmarkEnd w:id="3"/>
      <w:r w:rsidRPr="00277EB1">
        <w:rPr>
          <w:rFonts w:ascii="Times New Roman" w:hAnsi="Times New Roman"/>
          <w:sz w:val="22"/>
          <w:szCs w:val="22"/>
          <w:lang w:val="pl-PL"/>
        </w:rPr>
        <w:t xml:space="preserve">zapoznać się z zestawieniem najważniejszych informacji dla pracowników służby zdrowia oraz upoważnieniem FDA dostępnym na stronie </w:t>
      </w:r>
      <w:hyperlink r:id="rId8" w:history="1">
        <w:r w:rsidRPr="00277EB1">
          <w:rPr>
            <w:rStyle w:val="Hyperlink1"/>
            <w:rFonts w:eastAsia="Sylfaen"/>
            <w:lang w:val="pl-PL"/>
          </w:rPr>
          <w:t>www.gilead.com/remdesivir</w:t>
        </w:r>
      </w:hyperlink>
      <w:r w:rsidRPr="00277EB1">
        <w:rPr>
          <w:rFonts w:ascii="Times New Roman" w:hAnsi="Times New Roman"/>
          <w:sz w:val="22"/>
          <w:szCs w:val="22"/>
          <w:lang w:val="pl-PL"/>
        </w:rPr>
        <w:t>.</w:t>
      </w:r>
    </w:p>
    <w:p w14:paraId="3A0DD037" w14:textId="77777777" w:rsidR="00FE42F8" w:rsidRPr="00277EB1" w:rsidRDefault="009644EF">
      <w:pPr>
        <w:pStyle w:val="Nagwek3"/>
        <w:keepNext/>
        <w:keepLines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bookmarkStart w:id="4" w:name="bookmark3"/>
      <w:r w:rsidRPr="00277EB1">
        <w:rPr>
          <w:rFonts w:ascii="Times New Roman" w:hAnsi="Times New Roman"/>
          <w:sz w:val="22"/>
          <w:szCs w:val="22"/>
          <w:lang w:val="pl-PL"/>
        </w:rPr>
        <w:t>Informacje o badaniu klinicznym REMDACTA</w:t>
      </w:r>
      <w:bookmarkEnd w:id="4"/>
    </w:p>
    <w:p w14:paraId="3EF9978F" w14:textId="66258507" w:rsidR="00FE42F8" w:rsidRPr="00277EB1" w:rsidRDefault="009644EF">
      <w:pPr>
        <w:pStyle w:val="Teksttreci"/>
        <w:shd w:val="clear" w:color="auto" w:fill="auto"/>
        <w:spacing w:after="120" w:line="276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77EB1">
        <w:rPr>
          <w:rFonts w:ascii="Times New Roman" w:hAnsi="Times New Roman"/>
          <w:sz w:val="22"/>
          <w:szCs w:val="22"/>
          <w:lang w:val="pl-PL"/>
        </w:rPr>
        <w:t>REMDACTA</w:t>
      </w:r>
      <w:r w:rsidR="0059142A">
        <w:rPr>
          <w:rFonts w:ascii="Times New Roman" w:hAnsi="Times New Roman"/>
          <w:sz w:val="22"/>
          <w:szCs w:val="22"/>
          <w:lang w:val="pl-PL"/>
        </w:rPr>
        <w:t xml:space="preserve"> to dwuramienne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 wieloośrodkowe, globalne, randomizowane</w:t>
      </w:r>
      <w:r w:rsidR="0059142A">
        <w:rPr>
          <w:rFonts w:ascii="Times New Roman" w:hAnsi="Times New Roman"/>
          <w:sz w:val="22"/>
          <w:szCs w:val="22"/>
          <w:lang w:val="pl-PL"/>
        </w:rPr>
        <w:t>, podwójnie zaślepione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 badanie </w:t>
      </w:r>
      <w:r w:rsidR="0059142A" w:rsidRPr="00A75652">
        <w:rPr>
          <w:rFonts w:ascii="Times New Roman" w:hAnsi="Times New Roman"/>
          <w:sz w:val="22"/>
          <w:szCs w:val="22"/>
          <w:lang w:val="pl-PL"/>
        </w:rPr>
        <w:t xml:space="preserve">III 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fazy mające na celu ocenę skuteczności i bezpieczeństwa stosowania produktu leczniczego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Actemra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>/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RoActemra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w skojarzeniu z lekiem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remdesiwir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w porównaniu</w:t>
      </w:r>
      <w:r w:rsidR="0059142A">
        <w:rPr>
          <w:rFonts w:ascii="Times New Roman" w:hAnsi="Times New Roman"/>
          <w:sz w:val="22"/>
          <w:szCs w:val="22"/>
          <w:lang w:val="pl-PL"/>
        </w:rPr>
        <w:t xml:space="preserve"> do</w:t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 placebo w skojarzeniu z lekiem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remdesiwir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u hospitalizowanych pacjentów z ciężkim zapaleniem płuc w przebiegu COVID-19 otrzymujących standardowe leczenie . Pierwszorzędowe i drugorzędowe punkty końcowe obejmują stan kliniczny, śmiertelność, mechaniczną wentylację oraz parametry oznaczane na oddziale intensywnej opieki medycznej (OIOM). Pacjenci będą poddani obserwacji przez 60 dni po randomizacji.</w:t>
      </w:r>
    </w:p>
    <w:p w14:paraId="08383107" w14:textId="77777777" w:rsidR="00FE42F8" w:rsidRPr="00277EB1" w:rsidRDefault="009644EF">
      <w:pPr>
        <w:pStyle w:val="Nagwek3"/>
        <w:keepNext/>
        <w:keepLines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bookmarkStart w:id="5" w:name="bookmark4"/>
      <w:r w:rsidRPr="00277EB1">
        <w:rPr>
          <w:rFonts w:ascii="Times New Roman" w:hAnsi="Times New Roman"/>
          <w:sz w:val="22"/>
          <w:szCs w:val="22"/>
          <w:lang w:val="pl-PL"/>
        </w:rPr>
        <w:t>Informacje o badaniu klinicznym COVACTA</w:t>
      </w:r>
      <w:bookmarkEnd w:id="5"/>
    </w:p>
    <w:p w14:paraId="7A8F96B3" w14:textId="46DF20A4" w:rsidR="00FE42F8" w:rsidRPr="00277EB1" w:rsidRDefault="009644EF" w:rsidP="00277EB1">
      <w:pPr>
        <w:pStyle w:val="Teksttreci"/>
        <w:shd w:val="clear" w:color="auto" w:fill="auto"/>
        <w:spacing w:after="120" w:line="276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77EB1">
        <w:rPr>
          <w:rFonts w:ascii="Times New Roman" w:hAnsi="Times New Roman"/>
          <w:sz w:val="22"/>
          <w:szCs w:val="22"/>
          <w:lang w:val="pl-PL"/>
        </w:rPr>
        <w:t xml:space="preserve">Badanie COVACTA jest to kontrolowane placebo badanie kliniczne III fazy z podwójnie ślepą próbą, którego celem jest ocena bezpieczeństwa i skuteczności produktu leczniczego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Actemra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>/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RoActemra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podawanego we wlewie  dożylnym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wrazze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standardowym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leczeniemw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leczeniu około 450 dorosłych, hospitalizowanych pacjentów z ciężkim zapaleniem płuc w przebiegu COVID-19 w porównaniu </w:t>
      </w:r>
      <w:r w:rsidR="00FB3222">
        <w:rPr>
          <w:rFonts w:ascii="Times New Roman" w:hAnsi="Times New Roman"/>
          <w:sz w:val="22"/>
          <w:szCs w:val="22"/>
          <w:lang w:val="pl-PL"/>
        </w:rPr>
        <w:br/>
      </w:r>
      <w:r w:rsidRPr="00277EB1">
        <w:rPr>
          <w:rFonts w:ascii="Times New Roman" w:hAnsi="Times New Roman"/>
          <w:sz w:val="22"/>
          <w:szCs w:val="22"/>
          <w:lang w:val="pl-PL"/>
        </w:rPr>
        <w:t>z placebo w połączeniu ze standardowym leczeniem .</w:t>
      </w:r>
      <w:r w:rsidRPr="00277EB1">
        <w:rPr>
          <w:rFonts w:ascii="Times New Roman" w:hAnsi="Times New Roman"/>
          <w:sz w:val="22"/>
          <w:szCs w:val="22"/>
          <w:lang w:val="pl-PL"/>
        </w:rPr>
        <w:br/>
      </w:r>
    </w:p>
    <w:p w14:paraId="05CAB3AC" w14:textId="0021F6DA" w:rsidR="00FE42F8" w:rsidRPr="00FB3222" w:rsidRDefault="009644EF" w:rsidP="00FB3222">
      <w:pPr>
        <w:pStyle w:val="Teksttreci"/>
        <w:tabs>
          <w:tab w:val="left" w:pos="143"/>
        </w:tabs>
        <w:rPr>
          <w:lang w:val="pl-PL"/>
        </w:rPr>
      </w:pPr>
      <w:r w:rsidRPr="00277EB1">
        <w:rPr>
          <w:rFonts w:ascii="Times New Roman" w:hAnsi="Times New Roman"/>
          <w:b/>
          <w:bCs/>
          <w:sz w:val="22"/>
          <w:szCs w:val="22"/>
          <w:lang w:val="pl-PL"/>
        </w:rPr>
        <w:t xml:space="preserve">Informacje o produkcie leczniczym </w:t>
      </w:r>
      <w:proofErr w:type="spellStart"/>
      <w:r w:rsidRPr="00277EB1">
        <w:rPr>
          <w:rFonts w:ascii="Times New Roman" w:hAnsi="Times New Roman"/>
          <w:b/>
          <w:bCs/>
          <w:sz w:val="22"/>
          <w:szCs w:val="22"/>
          <w:lang w:val="pl-PL"/>
        </w:rPr>
        <w:t>tocilizumab</w:t>
      </w:r>
      <w:proofErr w:type="spellEnd"/>
      <w:r w:rsidRPr="00277EB1">
        <w:rPr>
          <w:rFonts w:ascii="Times New Roman" w:hAnsi="Times New Roman"/>
          <w:b/>
          <w:bCs/>
          <w:sz w:val="22"/>
          <w:szCs w:val="22"/>
          <w:lang w:val="pl-PL"/>
        </w:rPr>
        <w:br/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Tocilizumab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to pierwszy zarejestrowany lek biologiczny skierowany przeciwko receptorowi interleukiny 6 (Il-6) dostępny w formie preparatów do podawania drogą dożylną (IV) i podskórną (SC) który w skojarzeniu z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metotreksatem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(MTX), jest wskazany w leczeniu dorosłych pacjentów </w:t>
      </w:r>
      <w:r w:rsidR="00FB3222">
        <w:rPr>
          <w:rFonts w:ascii="Times New Roman" w:hAnsi="Times New Roman"/>
          <w:sz w:val="22"/>
          <w:szCs w:val="22"/>
          <w:lang w:val="pl-PL"/>
        </w:rPr>
        <w:br/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z czynnym, postępującym reumatoidalnym zapaleniem stawów (RZS) o ciężkim nasileniu, nieleczonych dotychczas za pomocą MTX oraz w leczeniu dorosłych pacjentów z czynnym RZS </w:t>
      </w:r>
      <w:r w:rsidR="00FB3222">
        <w:rPr>
          <w:rFonts w:ascii="Times New Roman" w:hAnsi="Times New Roman"/>
          <w:sz w:val="22"/>
          <w:szCs w:val="22"/>
          <w:lang w:val="pl-PL"/>
        </w:rPr>
        <w:br/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o nasileniu umiarkowanym do ciężkiego, u których stwierdzono niewystarczającą odpowiedź na leczenie lub nietolerancję dotychczasowego leczenia jednym lub kilkoma lekami przeciwreumatycznymi modyfikującymi przebieg choroby (ang.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DMARDs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) lub inhibitorami czynnika martwicy nowotworu (ang.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anti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-TNF).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Tocilizumab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może być podawany w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monoterapii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w przypadku nietolerancji MTX lub u pacjentów, u których kontynuacja leczenia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metotreksatem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nie jest wskazana. Ponadto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tocilizumab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jest wskazany w leczeniu czynnego młodzieńczego idiopatycznego zapalenia stawów o początku uogólnionym (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uMIZS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) u pacjentów w wieku co najmniej 2 lat, u których 2 stwierdzono niewystarczającą odpowiedź na leczenie niesteroidowymi lekami przeciwzapalnymi (NLPZ) i kortykosteroidami systemowymi. Lek może być podawany w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monoterapii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(w przypadku nietolerancji MTX oraz u pacjentów, u których leczenie MTX nie jest wskazane) lub w skojarzeniu </w:t>
      </w:r>
      <w:r w:rsidR="00FB3222">
        <w:rPr>
          <w:rFonts w:ascii="Times New Roman" w:hAnsi="Times New Roman"/>
          <w:sz w:val="22"/>
          <w:szCs w:val="22"/>
          <w:lang w:val="pl-PL"/>
        </w:rPr>
        <w:br/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z MTX.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Tocilizumab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w skojarzeniu z MTX jest wskazany w leczeniu wielostawowego młodzieńczego idiopatycznego zapalenia stawów (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wMIZS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) u pacjentów w wieku co najmniej 2 lat, u których stwierdzono niewystarczającą odpowiedź na wcześniejsze leczenie MTX. W tym wskazaniu lek także </w:t>
      </w:r>
      <w:r w:rsidRPr="00277EB1">
        <w:rPr>
          <w:rFonts w:ascii="Times New Roman" w:hAnsi="Times New Roman"/>
          <w:sz w:val="22"/>
          <w:szCs w:val="22"/>
          <w:lang w:val="pl-PL"/>
        </w:rPr>
        <w:lastRenderedPageBreak/>
        <w:t xml:space="preserve">może być podawany w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monoterapii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w przypadku nietolerancji MTX lub u pacjentów, u których kontynuowanie leczenia MTX nie jest wskazane. Lek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tocilizumab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do podawania drogą podskórną jest również pierwszym zarejestrowanym preparatem do stosowania w leczeniu olbrzymiokomórkowego zapalenia tętnic (ang.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giant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cell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arteritis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, GCA) w ponad 40 krajach, w tym w USA i w Europie. W USA i Europie, produkt leczniczy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tocilizumab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do podawania drogą dożylną jest zarejestrowany do stosowania w leczeniu ciężkiego lub zagrażającego życiu zespołu uwalniania cytokin (ang.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cytokine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release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syndrome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, CRS) indukowanego terapią komórkami T zawierającymi chimeryczny receptor antygenowy (ang.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chimeric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antigen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receptor, CAR) u dorosłych oraz dzieci i młodzieży w wieku co najmniej 2 lat. Lek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tocilizumab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był pierwszym lekiem zarejestrowanym w tym wskazaniu.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Wstrzykiwacz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półautomatyczny napełniony </w:t>
      </w:r>
      <w:proofErr w:type="spellStart"/>
      <w:r w:rsidRPr="00277EB1">
        <w:rPr>
          <w:rFonts w:ascii="Times New Roman" w:hAnsi="Times New Roman"/>
          <w:sz w:val="22"/>
          <w:szCs w:val="22"/>
          <w:lang w:val="pl-PL"/>
        </w:rPr>
        <w:t>ACTPen</w:t>
      </w:r>
      <w:proofErr w:type="spellEnd"/>
      <w:r w:rsidRPr="00277EB1">
        <w:rPr>
          <w:rFonts w:ascii="Times New Roman" w:hAnsi="Times New Roman"/>
          <w:sz w:val="22"/>
          <w:szCs w:val="22"/>
          <w:lang w:val="pl-PL"/>
        </w:rPr>
        <w:t xml:space="preserve"> został dopuszczony do leczenia w USA </w:t>
      </w:r>
      <w:r w:rsidR="00FB3222">
        <w:rPr>
          <w:rFonts w:ascii="Times New Roman" w:hAnsi="Times New Roman"/>
          <w:sz w:val="22"/>
          <w:szCs w:val="22"/>
          <w:lang w:val="pl-PL"/>
        </w:rPr>
        <w:br/>
      </w:r>
      <w:r w:rsidRPr="00277EB1">
        <w:rPr>
          <w:rFonts w:ascii="Times New Roman" w:hAnsi="Times New Roman"/>
          <w:sz w:val="22"/>
          <w:szCs w:val="22"/>
          <w:lang w:val="pl-PL"/>
        </w:rPr>
        <w:t xml:space="preserve">i w Europie. </w:t>
      </w:r>
      <w:r w:rsidRPr="00FB3222">
        <w:rPr>
          <w:rFonts w:ascii="Times New Roman" w:hAnsi="Times New Roman"/>
          <w:sz w:val="22"/>
          <w:szCs w:val="22"/>
          <w:lang w:val="pl-PL"/>
        </w:rPr>
        <w:t>Lek zarejestrowany jest w 116 krajach.</w:t>
      </w:r>
    </w:p>
    <w:sectPr w:rsidR="00FE42F8" w:rsidRPr="00FB322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28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EF8C" w14:textId="77777777" w:rsidR="00787E05" w:rsidRDefault="00787E05">
      <w:r>
        <w:separator/>
      </w:r>
    </w:p>
  </w:endnote>
  <w:endnote w:type="continuationSeparator" w:id="0">
    <w:p w14:paraId="1486CA33" w14:textId="77777777" w:rsidR="00787E05" w:rsidRDefault="0078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F4932" w14:textId="77777777" w:rsidR="00FE42F8" w:rsidRDefault="00FE42F8">
    <w:pPr>
      <w:pStyle w:val="Teksttreci2"/>
      <w:shd w:val="clear" w:color="auto" w:fill="auto"/>
      <w:tabs>
        <w:tab w:val="left" w:pos="3261"/>
        <w:tab w:val="left" w:pos="4820"/>
        <w:tab w:val="right" w:pos="9046"/>
      </w:tabs>
      <w:spacing w:after="120" w:line="276" w:lineRule="aut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9E2D" w14:textId="77777777" w:rsidR="00FE42F8" w:rsidRDefault="009644EF">
    <w:pPr>
      <w:pStyle w:val="Teksttreci2"/>
      <w:shd w:val="clear" w:color="auto" w:fill="auto"/>
      <w:tabs>
        <w:tab w:val="left" w:pos="3261"/>
        <w:tab w:val="left" w:pos="4820"/>
        <w:tab w:val="right" w:pos="9046"/>
      </w:tabs>
      <w:spacing w:after="120" w:line="276" w:lineRule="auto"/>
      <w:jc w:val="left"/>
      <w:rPr>
        <w:rFonts w:ascii="Times New Roman" w:eastAsia="Times New Roman" w:hAnsi="Times New Roman" w:cs="Times New Roman"/>
        <w:sz w:val="18"/>
        <w:szCs w:val="18"/>
      </w:rPr>
    </w:pPr>
    <w:r w:rsidRPr="00277EB1">
      <w:rPr>
        <w:rFonts w:ascii="Times New Roman" w:hAnsi="Times New Roman"/>
        <w:b/>
        <w:bCs/>
        <w:sz w:val="18"/>
        <w:szCs w:val="18"/>
        <w:lang w:val="pl-PL"/>
      </w:rPr>
      <w:t>F. Hoffmann-La Roche Ltd.</w:t>
    </w:r>
    <w:r w:rsidRPr="00277EB1">
      <w:rPr>
        <w:rFonts w:ascii="Times New Roman" w:eastAsia="Times New Roman" w:hAnsi="Times New Roman" w:cs="Times New Roman"/>
        <w:sz w:val="18"/>
        <w:szCs w:val="18"/>
        <w:lang w:val="pl-PL"/>
      </w:rPr>
      <w:tab/>
    </w:r>
    <w:r w:rsidRPr="00277EB1">
      <w:rPr>
        <w:rFonts w:ascii="Times New Roman" w:hAnsi="Times New Roman"/>
        <w:sz w:val="18"/>
        <w:szCs w:val="18"/>
        <w:lang w:val="pl-PL"/>
      </w:rPr>
      <w:t>4070 Bazylea</w:t>
    </w:r>
    <w:r w:rsidRPr="00277EB1">
      <w:rPr>
        <w:rFonts w:ascii="Times New Roman" w:hAnsi="Times New Roman"/>
        <w:sz w:val="18"/>
        <w:szCs w:val="18"/>
        <w:lang w:val="pl-PL"/>
      </w:rPr>
      <w:tab/>
      <w:t>Dział komunikacji Grupy</w:t>
    </w:r>
    <w:r w:rsidRPr="00277EB1">
      <w:rPr>
        <w:rFonts w:ascii="Times New Roman" w:hAnsi="Times New Roman"/>
        <w:sz w:val="18"/>
        <w:szCs w:val="18"/>
        <w:lang w:val="pl-PL"/>
      </w:rPr>
      <w:tab/>
      <w:t xml:space="preserve">Tel. </w:t>
    </w:r>
    <w:r>
      <w:rPr>
        <w:rFonts w:ascii="Times New Roman" w:hAnsi="Times New Roman"/>
        <w:sz w:val="18"/>
        <w:szCs w:val="18"/>
      </w:rPr>
      <w:t>+41 61 688 88 88</w:t>
    </w:r>
  </w:p>
  <w:p w14:paraId="4EA3EBD4" w14:textId="77777777" w:rsidR="00FE42F8" w:rsidRDefault="009644EF">
    <w:pPr>
      <w:pStyle w:val="Teksttreci2"/>
      <w:shd w:val="clear" w:color="auto" w:fill="auto"/>
      <w:tabs>
        <w:tab w:val="left" w:pos="3261"/>
        <w:tab w:val="left" w:pos="4820"/>
        <w:tab w:val="right" w:pos="9046"/>
      </w:tabs>
      <w:spacing w:after="120" w:line="276" w:lineRule="auto"/>
      <w:jc w:val="left"/>
    </w:pPr>
    <w:r>
      <w:rPr>
        <w:rFonts w:ascii="Times New Roman" w:eastAsia="Times New Roman" w:hAnsi="Times New Roman" w:cs="Times New Roman"/>
        <w:sz w:val="18"/>
        <w:szCs w:val="18"/>
      </w:rPr>
      <w:tab/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Szwajcaria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ab/>
      <w:t>Dzia</w:t>
    </w:r>
    <w:r>
      <w:rPr>
        <w:rFonts w:ascii="Times New Roman" w:hAnsi="Times New Roman"/>
        <w:sz w:val="18"/>
        <w:szCs w:val="18"/>
      </w:rPr>
      <w:t xml:space="preserve">ł </w:t>
    </w:r>
    <w:proofErr w:type="spellStart"/>
    <w:r>
      <w:rPr>
        <w:rFonts w:ascii="Times New Roman" w:hAnsi="Times New Roman"/>
        <w:sz w:val="18"/>
        <w:szCs w:val="18"/>
      </w:rPr>
      <w:t>kontaktów</w:t>
    </w:r>
    <w:proofErr w:type="spellEnd"/>
    <w:r>
      <w:rPr>
        <w:rFonts w:ascii="Times New Roman" w:hAnsi="Times New Roman"/>
        <w:sz w:val="18"/>
        <w:szCs w:val="18"/>
      </w:rPr>
      <w:t xml:space="preserve"> z </w:t>
    </w:r>
    <w:proofErr w:type="spellStart"/>
    <w:r>
      <w:rPr>
        <w:rFonts w:ascii="Times New Roman" w:hAnsi="Times New Roman"/>
        <w:sz w:val="18"/>
        <w:szCs w:val="18"/>
      </w:rPr>
      <w:t>mediami</w:t>
    </w:r>
    <w:proofErr w:type="spellEnd"/>
    <w:r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Grupy</w:t>
    </w:r>
    <w:proofErr w:type="spellEnd"/>
    <w:r>
      <w:rPr>
        <w:rFonts w:ascii="Times New Roman" w:hAnsi="Times New Roman"/>
        <w:sz w:val="18"/>
        <w:szCs w:val="18"/>
      </w:rPr>
      <w:t xml:space="preserve"> Roche</w:t>
    </w:r>
    <w:r>
      <w:rPr>
        <w:rFonts w:ascii="Times New Roman" w:hAnsi="Times New Roman"/>
        <w:sz w:val="18"/>
        <w:szCs w:val="18"/>
      </w:rPr>
      <w:tab/>
    </w:r>
    <w:hyperlink r:id="rId1" w:history="1">
      <w:r>
        <w:rPr>
          <w:rStyle w:val="Hyperlink0"/>
          <w:rFonts w:eastAsia="Arial"/>
        </w:rPr>
        <w:t>www.roche.com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CA1AF" w14:textId="77777777" w:rsidR="00787E05" w:rsidRDefault="00787E05">
      <w:r>
        <w:separator/>
      </w:r>
    </w:p>
  </w:footnote>
  <w:footnote w:type="continuationSeparator" w:id="0">
    <w:p w14:paraId="600B245D" w14:textId="77777777" w:rsidR="00787E05" w:rsidRDefault="0078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68B7" w14:textId="77777777" w:rsidR="00FE42F8" w:rsidRDefault="009644EF">
    <w:pPr>
      <w:pStyle w:val="Nagwekistopka"/>
    </w:pP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77DF0DD" wp14:editId="558E11FB">
              <wp:simplePos x="0" y="0"/>
              <wp:positionH relativeFrom="page">
                <wp:posOffset>6774815</wp:posOffset>
              </wp:positionH>
              <wp:positionV relativeFrom="page">
                <wp:posOffset>10424159</wp:posOffset>
              </wp:positionV>
              <wp:extent cx="114936" cy="94616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6" cy="946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517E03F" w14:textId="4B73295D" w:rsidR="00FE42F8" w:rsidRDefault="009644EF">
                          <w:pPr>
                            <w:pStyle w:val="Nagweklubstopk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202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DF0D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533.45pt;margin-top:820.8pt;width:9.05pt;height:7.45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" filled="f" stroked="f" strokeweight="1pt">
              <v:stroke miterlimit="4"/>
              <v:textbox inset="0,0,0,0">
                <w:txbxContent>
                  <w:p w14:paraId="1517E03F" w14:textId="4B73295D" w:rsidR="00FE42F8" w:rsidRDefault="009644EF">
                    <w:pPr>
                      <w:pStyle w:val="Nagweklubstopk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202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8BF5" w14:textId="77777777" w:rsidR="00FE42F8" w:rsidRDefault="009644EF">
    <w:pPr>
      <w:pStyle w:val="Nagwekistopka"/>
    </w:pP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654BB83" wp14:editId="3BAA7359">
              <wp:simplePos x="0" y="0"/>
              <wp:positionH relativeFrom="page">
                <wp:posOffset>6774815</wp:posOffset>
              </wp:positionH>
              <wp:positionV relativeFrom="page">
                <wp:posOffset>10424159</wp:posOffset>
              </wp:positionV>
              <wp:extent cx="114936" cy="94616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6" cy="946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CCA87E2" w14:textId="42E6B4FE" w:rsidR="00FE42F8" w:rsidRDefault="009644EF">
                          <w:pPr>
                            <w:pStyle w:val="Nagweklubstopk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8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4BB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3" style="position:absolute;margin-left:533.45pt;margin-top:820.8pt;width:9.05pt;height:7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" filled="f" stroked="f" strokeweight="1pt">
              <v:stroke miterlimit="4"/>
              <v:textbox inset="0,0,0,0">
                <w:txbxContent>
                  <w:p w14:paraId="0CCA87E2" w14:textId="42E6B4FE" w:rsidR="00FE42F8" w:rsidRDefault="009644EF">
                    <w:pPr>
                      <w:pStyle w:val="Nagweklubstopk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18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3FB"/>
    <w:multiLevelType w:val="hybridMultilevel"/>
    <w:tmpl w:val="4F606722"/>
    <w:styleLink w:val="Zaimportowanystyl1"/>
    <w:lvl w:ilvl="0" w:tplc="EF006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723D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CDA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E05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860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189D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0B3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4B8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CF5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ED0E78"/>
    <w:multiLevelType w:val="hybridMultilevel"/>
    <w:tmpl w:val="4F606722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F8"/>
    <w:rsid w:val="001678CA"/>
    <w:rsid w:val="001C1849"/>
    <w:rsid w:val="00277EB1"/>
    <w:rsid w:val="0059142A"/>
    <w:rsid w:val="005B2F07"/>
    <w:rsid w:val="00787E05"/>
    <w:rsid w:val="007A2024"/>
    <w:rsid w:val="009644EF"/>
    <w:rsid w:val="00B8571C"/>
    <w:rsid w:val="00FB3222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3C48"/>
  <w15:docId w15:val="{159D5AF2-D0D3-4723-BEA0-42B71633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lubstopka">
    <w:name w:val="Nagłówek lub stopka"/>
    <w:pPr>
      <w:widowControl w:val="0"/>
      <w:shd w:val="clear" w:color="auto" w:fill="FFFFFF"/>
      <w:spacing w:line="20" w:lineRule="atLeast"/>
    </w:pPr>
    <w:rPr>
      <w:rFonts w:ascii="Arial" w:hAnsi="Arial" w:cs="Arial Unicode MS"/>
      <w:color w:val="000000"/>
      <w:sz w:val="13"/>
      <w:szCs w:val="13"/>
      <w:u w:color="000000"/>
      <w:lang w:val="en-US"/>
    </w:rPr>
  </w:style>
  <w:style w:type="paragraph" w:customStyle="1" w:styleId="Teksttreci2">
    <w:name w:val="Tekst treści (2)"/>
    <w:pPr>
      <w:widowControl w:val="0"/>
      <w:shd w:val="clear" w:color="auto" w:fill="FFFFFF"/>
      <w:spacing w:line="20" w:lineRule="atLeast"/>
      <w:jc w:val="both"/>
    </w:pPr>
    <w:rPr>
      <w:rFonts w:ascii="Arial" w:eastAsia="Arial" w:hAnsi="Arial" w:cs="Arial"/>
      <w:color w:val="000000"/>
      <w:sz w:val="14"/>
      <w:szCs w:val="14"/>
      <w:u w:color="000000"/>
      <w:lang w:val="en-US"/>
    </w:rPr>
  </w:style>
  <w:style w:type="character" w:customStyle="1" w:styleId="cze">
    <w:name w:val="Łącze"/>
    <w:rPr>
      <w:outline w:val="0"/>
      <w:color w:val="0066CC"/>
      <w:u w:val="single" w:color="0066CC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outline w:val="0"/>
      <w:color w:val="0066CC"/>
      <w:sz w:val="18"/>
      <w:szCs w:val="18"/>
      <w:u w:val="single" w:color="0066CC"/>
    </w:rPr>
  </w:style>
  <w:style w:type="paragraph" w:customStyle="1" w:styleId="Nagwek1">
    <w:name w:val="Nagłówek #1"/>
    <w:pPr>
      <w:widowControl w:val="0"/>
      <w:shd w:val="clear" w:color="auto" w:fill="FFFFFF"/>
      <w:spacing w:line="20" w:lineRule="atLeast"/>
      <w:outlineLvl w:val="0"/>
    </w:pPr>
    <w:rPr>
      <w:rFonts w:eastAsia="Times New Roman"/>
      <w:i/>
      <w:iCs/>
      <w:color w:val="000000"/>
      <w:sz w:val="52"/>
      <w:szCs w:val="52"/>
      <w:u w:color="000000"/>
      <w:lang w:val="en-US"/>
    </w:rPr>
  </w:style>
  <w:style w:type="paragraph" w:customStyle="1" w:styleId="Tre">
    <w:name w:val="Treść"/>
    <w:pPr>
      <w:widowControl w:val="0"/>
    </w:pPr>
    <w:rPr>
      <w:rFonts w:ascii="Courier New" w:eastAsia="Courier New" w:hAnsi="Courier New" w:cs="Courier New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">
    <w:name w:val="Nagłówek #2"/>
    <w:pPr>
      <w:widowControl w:val="0"/>
      <w:shd w:val="clear" w:color="auto" w:fill="FFFFFF"/>
      <w:spacing w:line="389" w:lineRule="exact"/>
      <w:outlineLvl w:val="1"/>
    </w:pPr>
    <w:rPr>
      <w:rFonts w:ascii="Sylfaen" w:eastAsia="Sylfaen" w:hAnsi="Sylfaen" w:cs="Sylfaen"/>
      <w:color w:val="000000"/>
      <w:sz w:val="28"/>
      <w:szCs w:val="28"/>
      <w:u w:color="000000"/>
      <w:lang w:val="en-US"/>
    </w:rPr>
  </w:style>
  <w:style w:type="paragraph" w:customStyle="1" w:styleId="Nagwek3">
    <w:name w:val="Nagłówek #3"/>
    <w:pPr>
      <w:widowControl w:val="0"/>
      <w:shd w:val="clear" w:color="auto" w:fill="FFFFFF"/>
      <w:spacing w:line="302" w:lineRule="exact"/>
      <w:outlineLvl w:val="2"/>
    </w:pPr>
    <w:rPr>
      <w:rFonts w:ascii="Sylfaen" w:eastAsia="Sylfaen" w:hAnsi="Sylfaen" w:cs="Sylfaen"/>
      <w:b/>
      <w:bCs/>
      <w:color w:val="000000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line="298" w:lineRule="exact"/>
    </w:pPr>
    <w:rPr>
      <w:rFonts w:ascii="Sylfaen" w:eastAsia="Sylfaen" w:hAnsi="Sylfaen" w:cs="Sylfaen"/>
      <w:color w:val="000000"/>
      <w:u w:color="000000"/>
      <w:lang w:val="en-US"/>
    </w:rPr>
  </w:style>
  <w:style w:type="character" w:customStyle="1" w:styleId="Hyperlink1">
    <w:name w:val="Hyperlink.1"/>
    <w:basedOn w:val="cze"/>
    <w:rPr>
      <w:rFonts w:ascii="Times New Roman" w:eastAsia="Times New Roman" w:hAnsi="Times New Roman" w:cs="Times New Roman"/>
      <w:outline w:val="0"/>
      <w:color w:val="0066CC"/>
      <w:sz w:val="22"/>
      <w:szCs w:val="22"/>
      <w:u w:val="single" w:color="0066CC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A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2A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77E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E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7E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ead.com/remdesiv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che.com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Szpejewska-Cedro, Malgorzata {MWJC~Warsaw}</dc:creator>
  <cp:lastModifiedBy>Weronika Rudecka</cp:lastModifiedBy>
  <cp:revision>2</cp:revision>
  <dcterms:created xsi:type="dcterms:W3CDTF">2020-05-29T09:48:00Z</dcterms:created>
  <dcterms:modified xsi:type="dcterms:W3CDTF">2020-05-29T09:48:00Z</dcterms:modified>
</cp:coreProperties>
</file>